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D7" w:rsidRPr="00942DD7" w:rsidRDefault="00942DD7" w:rsidP="00942DD7">
      <w:pPr>
        <w:bidi w:val="0"/>
        <w:spacing w:before="100" w:beforeAutospacing="1" w:after="100" w:afterAutospacing="1" w:line="240" w:lineRule="auto"/>
        <w:jc w:val="right"/>
        <w:rPr>
          <w:rFonts w:ascii="Tahoma" w:eastAsia="Times New Roman" w:hAnsi="Tahoma" w:cs="Tahoma"/>
          <w:sz w:val="20"/>
          <w:szCs w:val="20"/>
        </w:rPr>
      </w:pPr>
      <w:r w:rsidRPr="00942DD7">
        <w:rPr>
          <w:rFonts w:ascii="Tahoma" w:eastAsia="Times New Roman" w:hAnsi="Tahoma" w:cs="Tahoma"/>
          <w:sz w:val="20"/>
          <w:szCs w:val="20"/>
          <w:rtl/>
        </w:rPr>
        <w:t xml:space="preserve">تاریخ: 24 شهریور </w:t>
      </w:r>
      <w:r w:rsidRPr="00942DD7">
        <w:rPr>
          <w:rFonts w:ascii="Tahoma" w:eastAsia="Times New Roman" w:hAnsi="Tahoma" w:cs="Tahoma"/>
          <w:sz w:val="20"/>
          <w:szCs w:val="20"/>
          <w:rtl/>
        </w:rPr>
        <w:t>1393</w:t>
      </w:r>
      <w:r>
        <w:rPr>
          <w:rFonts w:ascii="Tahoma" w:eastAsia="Times New Roman" w:hAnsi="Tahoma" w:cs="Tahoma" w:hint="cs"/>
          <w:sz w:val="20"/>
          <w:szCs w:val="20"/>
          <w:rtl/>
        </w:rPr>
        <w:t xml:space="preserve"> </w:t>
      </w:r>
      <w:bookmarkStart w:id="0" w:name="_GoBack"/>
      <w:bookmarkEnd w:id="0"/>
      <w:r>
        <w:rPr>
          <w:rFonts w:ascii="Tahoma" w:eastAsia="Times New Roman" w:hAnsi="Tahoma" w:cs="Tahoma" w:hint="cs"/>
          <w:sz w:val="20"/>
          <w:szCs w:val="20"/>
          <w:rtl/>
        </w:rPr>
        <w:t>موضوع : اب</w:t>
      </w:r>
      <w:r w:rsidRPr="00942DD7">
        <w:rPr>
          <w:rFonts w:ascii="Tahoma" w:eastAsia="Times New Roman" w:hAnsi="Tahoma" w:cs="Tahoma"/>
          <w:sz w:val="20"/>
          <w:szCs w:val="20"/>
          <w:rtl/>
        </w:rPr>
        <w:t xml:space="preserve">طال تبصره 1 ماده 7 فصل دوم آیین نامه اجرایی ماده 45 قانون </w:t>
      </w:r>
    </w:p>
    <w:p w:rsidR="00942DD7" w:rsidRPr="00942DD7" w:rsidRDefault="00942DD7" w:rsidP="00942DD7">
      <w:pPr>
        <w:bidi w:val="0"/>
        <w:spacing w:after="0" w:line="240" w:lineRule="auto"/>
        <w:rPr>
          <w:rFonts w:ascii="Tahoma" w:eastAsia="Times New Roman" w:hAnsi="Tahoma" w:cs="Tahoma"/>
          <w:sz w:val="20"/>
          <w:szCs w:val="20"/>
        </w:rPr>
      </w:pPr>
      <w:r w:rsidRPr="00942DD7">
        <w:rPr>
          <w:rFonts w:ascii="Tahoma" w:eastAsia="Times New Roman" w:hAnsi="Tahoma" w:cs="Tahoma"/>
          <w:sz w:val="20"/>
          <w:szCs w:val="20"/>
        </w:rPr>
        <w:pict>
          <v:rect id="_x0000_i1025" style="width:0;height:1.5pt" o:hrstd="t" o:hr="t" fillcolor="#aca899" stroked="f"/>
        </w:pict>
      </w:r>
    </w:p>
    <w:p w:rsidR="00942DD7" w:rsidRPr="00942DD7" w:rsidRDefault="00942DD7" w:rsidP="00942DD7">
      <w:pPr>
        <w:bidi w:val="0"/>
        <w:spacing w:after="0" w:line="240" w:lineRule="auto"/>
        <w:rPr>
          <w:rFonts w:ascii="Tahoma" w:eastAsia="Times New Roman" w:hAnsi="Tahoma" w:cs="Tahoma"/>
          <w:sz w:val="20"/>
          <w:szCs w:val="20"/>
        </w:rPr>
      </w:pPr>
      <w:r w:rsidRPr="00942DD7">
        <w:rPr>
          <w:rFonts w:ascii="Tahoma" w:eastAsia="Times New Roman" w:hAnsi="Tahoma" w:cs="Tahoma"/>
          <w:sz w:val="20"/>
          <w:szCs w:val="20"/>
          <w:rtl/>
        </w:rPr>
        <w:t>کلاسه پرونده</w:t>
      </w:r>
      <w:r w:rsidRPr="00942DD7">
        <w:rPr>
          <w:rFonts w:ascii="Tahoma" w:eastAsia="Times New Roman" w:hAnsi="Tahoma" w:cs="Tahoma"/>
          <w:sz w:val="20"/>
          <w:szCs w:val="20"/>
        </w:rPr>
        <w:t>: 90/756</w:t>
      </w:r>
    </w:p>
    <w:p w:rsidR="00942DD7" w:rsidRPr="00942DD7" w:rsidRDefault="00942DD7" w:rsidP="00942DD7">
      <w:pPr>
        <w:bidi w:val="0"/>
        <w:spacing w:after="0" w:line="240" w:lineRule="auto"/>
        <w:rPr>
          <w:rFonts w:ascii="Tahoma" w:eastAsia="Times New Roman" w:hAnsi="Tahoma" w:cs="Tahoma"/>
          <w:sz w:val="20"/>
          <w:szCs w:val="20"/>
        </w:rPr>
      </w:pPr>
      <w:r w:rsidRPr="00942DD7">
        <w:rPr>
          <w:rFonts w:ascii="Tahoma" w:eastAsia="Times New Roman" w:hAnsi="Tahoma" w:cs="Tahoma"/>
          <w:sz w:val="20"/>
          <w:szCs w:val="20"/>
        </w:rPr>
        <w:pict>
          <v:rect id="_x0000_i1026" style="width:0;height:1.5pt" o:hrstd="t" o:hr="t" fillcolor="#aca899" stroked="f"/>
        </w:pict>
      </w:r>
    </w:p>
    <w:p w:rsidR="00942DD7" w:rsidRPr="00942DD7" w:rsidRDefault="00942DD7" w:rsidP="00942DD7">
      <w:pPr>
        <w:bidi w:val="0"/>
        <w:spacing w:after="0" w:line="240" w:lineRule="auto"/>
        <w:rPr>
          <w:rFonts w:ascii="Tahoma" w:eastAsia="Times New Roman" w:hAnsi="Tahoma" w:cs="Tahoma"/>
          <w:sz w:val="20"/>
          <w:szCs w:val="20"/>
        </w:rPr>
      </w:pPr>
      <w:r w:rsidRPr="00942DD7">
        <w:rPr>
          <w:rFonts w:ascii="Tahoma" w:eastAsia="Times New Roman" w:hAnsi="Tahoma" w:cs="Tahoma"/>
          <w:sz w:val="20"/>
          <w:szCs w:val="20"/>
          <w:rtl/>
        </w:rPr>
        <w:t>شماره دادنامه</w:t>
      </w:r>
      <w:r w:rsidRPr="00942DD7">
        <w:rPr>
          <w:rFonts w:ascii="Tahoma" w:eastAsia="Times New Roman" w:hAnsi="Tahoma" w:cs="Tahoma"/>
          <w:sz w:val="20"/>
          <w:szCs w:val="20"/>
        </w:rPr>
        <w:t>: 1046</w:t>
      </w:r>
    </w:p>
    <w:p w:rsidR="00942DD7" w:rsidRPr="00942DD7" w:rsidRDefault="00942DD7" w:rsidP="00942DD7">
      <w:pPr>
        <w:bidi w:val="0"/>
        <w:spacing w:after="0" w:line="240" w:lineRule="auto"/>
        <w:rPr>
          <w:rFonts w:ascii="Tahoma" w:eastAsia="Times New Roman" w:hAnsi="Tahoma" w:cs="Tahoma"/>
          <w:sz w:val="20"/>
          <w:szCs w:val="20"/>
        </w:rPr>
      </w:pPr>
      <w:r w:rsidRPr="00942DD7">
        <w:rPr>
          <w:rFonts w:ascii="Tahoma" w:eastAsia="Times New Roman" w:hAnsi="Tahoma" w:cs="Tahoma"/>
          <w:sz w:val="20"/>
          <w:szCs w:val="20"/>
        </w:rPr>
        <w:pict>
          <v:rect id="_x0000_i1027" style="width:0;height:1.5pt" o:hrstd="t" o:hr="t" fillcolor="#aca899" stroked="f"/>
        </w:pict>
      </w:r>
    </w:p>
    <w:p w:rsidR="00942DD7" w:rsidRPr="00942DD7" w:rsidRDefault="00942DD7" w:rsidP="00942DD7">
      <w:pPr>
        <w:bidi w:val="0"/>
        <w:spacing w:after="0" w:line="240" w:lineRule="auto"/>
        <w:rPr>
          <w:rFonts w:ascii="Tahoma" w:eastAsia="Times New Roman" w:hAnsi="Tahoma" w:cs="Tahoma"/>
          <w:sz w:val="20"/>
          <w:szCs w:val="20"/>
        </w:rPr>
      </w:pPr>
      <w:r w:rsidRPr="00942DD7">
        <w:rPr>
          <w:rFonts w:ascii="Tahoma" w:eastAsia="Times New Roman" w:hAnsi="Tahoma" w:cs="Tahoma"/>
          <w:sz w:val="20"/>
          <w:szCs w:val="20"/>
        </w:rPr>
        <w:t xml:space="preserve">: </w:t>
      </w:r>
      <w:r w:rsidRPr="00942DD7">
        <w:rPr>
          <w:rFonts w:ascii="Tahoma" w:eastAsia="Times New Roman" w:hAnsi="Tahoma" w:cs="Tahoma"/>
          <w:sz w:val="20"/>
          <w:szCs w:val="20"/>
          <w:rtl/>
        </w:rPr>
        <w:t>ابطال تبصره 1 ماده 7 فصل دوم آیین نامه اجرایی ماده 45 قانون نظام صنفی مبنی بر الزام اتحادیه های صنفی به واریز حداقل حقوق مزایای یک نفر بازرس به مجمع امور صنفی به ازاءهر پانصد عضو</w:t>
      </w:r>
    </w:p>
    <w:p w:rsidR="00942DD7" w:rsidRPr="00942DD7" w:rsidRDefault="00942DD7" w:rsidP="00942DD7">
      <w:pPr>
        <w:bidi w:val="0"/>
        <w:spacing w:after="0" w:line="240" w:lineRule="auto"/>
        <w:rPr>
          <w:rFonts w:ascii="Tahoma" w:eastAsia="Times New Roman" w:hAnsi="Tahoma" w:cs="Tahoma"/>
          <w:sz w:val="20"/>
          <w:szCs w:val="20"/>
        </w:rPr>
      </w:pPr>
      <w:r w:rsidRPr="00942DD7">
        <w:rPr>
          <w:rFonts w:ascii="Tahoma" w:eastAsia="Times New Roman" w:hAnsi="Tahoma" w:cs="Tahoma"/>
          <w:sz w:val="20"/>
          <w:szCs w:val="20"/>
        </w:rPr>
        <w:pict>
          <v:rect id="_x0000_i1028" style="width:0;height:1.5pt" o:hrstd="t" o:hr="t" fillcolor="#aca899" stroked="f"/>
        </w:pict>
      </w:r>
    </w:p>
    <w:p w:rsidR="00942DD7" w:rsidRPr="00942DD7" w:rsidRDefault="00942DD7" w:rsidP="00942DD7">
      <w:pPr>
        <w:bidi w:val="0"/>
        <w:spacing w:after="0" w:line="240" w:lineRule="auto"/>
        <w:rPr>
          <w:rFonts w:ascii="Tahoma" w:eastAsia="Times New Roman" w:hAnsi="Tahoma" w:cs="Tahoma"/>
          <w:sz w:val="20"/>
          <w:szCs w:val="20"/>
        </w:rPr>
      </w:pPr>
      <w:r w:rsidRPr="00942DD7">
        <w:rPr>
          <w:rFonts w:ascii="Tahoma" w:eastAsia="Times New Roman" w:hAnsi="Tahoma" w:cs="Tahoma"/>
          <w:sz w:val="20"/>
          <w:szCs w:val="20"/>
          <w:rtl/>
        </w:rPr>
        <w:t>شاکی</w:t>
      </w:r>
      <w:r w:rsidRPr="00942DD7">
        <w:rPr>
          <w:rFonts w:ascii="Tahoma" w:eastAsia="Times New Roman" w:hAnsi="Tahoma" w:cs="Tahoma"/>
          <w:sz w:val="20"/>
          <w:szCs w:val="20"/>
        </w:rPr>
        <w:t xml:space="preserve">: </w:t>
      </w:r>
      <w:r w:rsidRPr="00942DD7">
        <w:rPr>
          <w:rFonts w:ascii="Tahoma" w:eastAsia="Times New Roman" w:hAnsi="Tahoma" w:cs="Tahoma"/>
          <w:sz w:val="20"/>
          <w:szCs w:val="20"/>
          <w:rtl/>
        </w:rPr>
        <w:t>آقای بابک کیانفر</w:t>
      </w:r>
    </w:p>
    <w:p w:rsidR="00942DD7" w:rsidRPr="00942DD7" w:rsidRDefault="00942DD7" w:rsidP="00942DD7">
      <w:pPr>
        <w:bidi w:val="0"/>
        <w:spacing w:after="0" w:line="240" w:lineRule="auto"/>
        <w:rPr>
          <w:rFonts w:ascii="Tahoma" w:eastAsia="Times New Roman" w:hAnsi="Tahoma" w:cs="Tahoma"/>
          <w:sz w:val="20"/>
          <w:szCs w:val="20"/>
        </w:rPr>
      </w:pPr>
      <w:r w:rsidRPr="00942DD7">
        <w:rPr>
          <w:rFonts w:ascii="Tahoma" w:eastAsia="Times New Roman" w:hAnsi="Tahoma" w:cs="Tahoma"/>
          <w:sz w:val="20"/>
          <w:szCs w:val="20"/>
        </w:rPr>
        <w:pict>
          <v:rect id="_x0000_i1029" style="width:0;height:1.5pt" o:hrstd="t" o:hr="t" fillcolor="#aca899" stroked="f"/>
        </w:pict>
      </w:r>
    </w:p>
    <w:p w:rsidR="005D61A6" w:rsidRPr="00942DD7" w:rsidRDefault="00942DD7" w:rsidP="00942DD7">
      <w:pPr>
        <w:rPr>
          <w:rFonts w:ascii="Tahoma" w:hAnsi="Tahoma" w:cs="Tahoma"/>
          <w:sz w:val="20"/>
          <w:szCs w:val="20"/>
        </w:rPr>
      </w:pPr>
      <w:r w:rsidRPr="00942DD7">
        <w:rPr>
          <w:rFonts w:ascii="Tahoma" w:eastAsia="Times New Roman" w:hAnsi="Tahoma" w:cs="Tahoma"/>
          <w:sz w:val="20"/>
          <w:szCs w:val="20"/>
          <w:rtl/>
        </w:rPr>
        <w:t xml:space="preserve">بسم الله الرحمن الرحیم </w:t>
      </w:r>
      <w:r w:rsidRPr="00942DD7">
        <w:rPr>
          <w:rFonts w:ascii="Tahoma" w:eastAsia="Times New Roman" w:hAnsi="Tahoma" w:cs="Tahoma"/>
          <w:sz w:val="20"/>
          <w:szCs w:val="20"/>
        </w:rPr>
        <w:br/>
      </w:r>
      <w:r w:rsidRPr="00942DD7">
        <w:rPr>
          <w:rFonts w:ascii="Tahoma" w:eastAsia="Times New Roman" w:hAnsi="Tahoma" w:cs="Tahoma"/>
          <w:sz w:val="20"/>
          <w:szCs w:val="20"/>
          <w:rtl/>
        </w:rPr>
        <w:t>مرجع رسیدگی: هیأت عمومی دیوان عدالت اداری</w:t>
      </w:r>
      <w:r w:rsidRPr="00942DD7">
        <w:rPr>
          <w:rFonts w:ascii="Tahoma" w:eastAsia="Times New Roman" w:hAnsi="Tahoma" w:cs="Tahoma"/>
          <w:sz w:val="20"/>
          <w:szCs w:val="20"/>
        </w:rPr>
        <w:br/>
      </w:r>
      <w:r w:rsidRPr="00942DD7">
        <w:rPr>
          <w:rFonts w:ascii="Tahoma" w:eastAsia="Times New Roman" w:hAnsi="Tahoma" w:cs="Tahoma"/>
          <w:sz w:val="20"/>
          <w:szCs w:val="20"/>
          <w:rtl/>
        </w:rPr>
        <w:t>گردش کار: آقای بابک کیانفر به موجب دادخواستی ابطال تبصره 1 ماده 7 فصل دوم آیین نامه اجرایی ماده 45 قانون نظام صنفی را خواستار شده و در جهت تبیین خواسته اعلام کرده است که</w:t>
      </w:r>
      <w:r w:rsidRPr="00942DD7">
        <w:rPr>
          <w:rFonts w:ascii="Tahoma" w:eastAsia="Times New Roman" w:hAnsi="Tahoma" w:cs="Tahoma"/>
          <w:sz w:val="20"/>
          <w:szCs w:val="20"/>
        </w:rPr>
        <w:t>:</w:t>
      </w:r>
      <w:r w:rsidRPr="00942DD7">
        <w:rPr>
          <w:rFonts w:ascii="Tahoma" w:eastAsia="Times New Roman" w:hAnsi="Tahoma" w:cs="Tahoma"/>
          <w:sz w:val="20"/>
          <w:szCs w:val="20"/>
        </w:rPr>
        <w:br/>
        <w:t xml:space="preserve">" </w:t>
      </w:r>
      <w:r w:rsidRPr="00942DD7">
        <w:rPr>
          <w:rFonts w:ascii="Tahoma" w:eastAsia="Times New Roman" w:hAnsi="Tahoma" w:cs="Tahoma"/>
          <w:sz w:val="20"/>
          <w:szCs w:val="20"/>
          <w:rtl/>
        </w:rPr>
        <w:t>احتراماً، با عنایت به این که در مفاد ماده 31 قانون نظام صنفی ( منابع مالی اتحادیه) غیر از پرداخت 20% حاصل از درآمد اتحادیه صنفی در وجه مجمع امور صنفی، مواد قانونی و یا تبصره ای برای پرداخت سایر وجوه مانند موضوع تبصره 1 ماده 7 فصل دوم آیین نامه ماده 45 قانون نظام صنفی درماده 31 قانون نظام صنفی گنجانده نشده است. لذا به علت مغایرت تبصره 1 ماده 7 فصل دوم آیین نامه اجرایی ماده 45 قانون نظام صنفی با اصل مفاد ماده 31 این قانون، درخواست ابطال تبصره فوق الذکر را دارم</w:t>
      </w:r>
      <w:r w:rsidRPr="00942DD7">
        <w:rPr>
          <w:rFonts w:ascii="Tahoma" w:eastAsia="Times New Roman" w:hAnsi="Tahoma" w:cs="Tahoma"/>
          <w:sz w:val="20"/>
          <w:szCs w:val="20"/>
        </w:rPr>
        <w:t xml:space="preserve">. </w:t>
      </w:r>
      <w:proofErr w:type="gramStart"/>
      <w:r w:rsidRPr="00942DD7">
        <w:rPr>
          <w:rFonts w:ascii="Tahoma" w:eastAsia="Times New Roman" w:hAnsi="Tahoma" w:cs="Tahoma"/>
          <w:sz w:val="20"/>
          <w:szCs w:val="20"/>
        </w:rPr>
        <w:t xml:space="preserve">" </w:t>
      </w:r>
      <w:proofErr w:type="gramEnd"/>
      <w:r w:rsidRPr="00942DD7">
        <w:rPr>
          <w:rFonts w:ascii="Tahoma" w:eastAsia="Times New Roman" w:hAnsi="Tahoma" w:cs="Tahoma"/>
          <w:sz w:val="20"/>
          <w:szCs w:val="20"/>
        </w:rPr>
        <w:br/>
      </w:r>
      <w:r w:rsidRPr="00942DD7">
        <w:rPr>
          <w:rFonts w:ascii="Tahoma" w:eastAsia="Times New Roman" w:hAnsi="Tahoma" w:cs="Tahoma"/>
          <w:sz w:val="20"/>
          <w:szCs w:val="20"/>
          <w:rtl/>
        </w:rPr>
        <w:t>متن آیین نامه در قسمت مورد اعتراض به قرار زیر است</w:t>
      </w:r>
      <w:r w:rsidRPr="00942DD7">
        <w:rPr>
          <w:rFonts w:ascii="Tahoma" w:eastAsia="Times New Roman" w:hAnsi="Tahoma" w:cs="Tahoma"/>
          <w:sz w:val="20"/>
          <w:szCs w:val="20"/>
        </w:rPr>
        <w:t>:</w:t>
      </w:r>
      <w:r w:rsidRPr="00942DD7">
        <w:rPr>
          <w:rFonts w:ascii="Tahoma" w:eastAsia="Times New Roman" w:hAnsi="Tahoma" w:cs="Tahoma"/>
          <w:sz w:val="20"/>
          <w:szCs w:val="20"/>
        </w:rPr>
        <w:br/>
        <w:t xml:space="preserve">" </w:t>
      </w:r>
      <w:r w:rsidRPr="00942DD7">
        <w:rPr>
          <w:rFonts w:ascii="Tahoma" w:eastAsia="Times New Roman" w:hAnsi="Tahoma" w:cs="Tahoma"/>
          <w:sz w:val="20"/>
          <w:szCs w:val="20"/>
          <w:rtl/>
        </w:rPr>
        <w:t>فصل دوم – واحد بازرسی و نظارت اصناف</w:t>
      </w:r>
      <w:r w:rsidRPr="00942DD7">
        <w:rPr>
          <w:rFonts w:ascii="Tahoma" w:eastAsia="Times New Roman" w:hAnsi="Tahoma" w:cs="Tahoma"/>
          <w:sz w:val="20"/>
          <w:szCs w:val="20"/>
        </w:rPr>
        <w:t>:</w:t>
      </w:r>
      <w:r w:rsidRPr="00942DD7">
        <w:rPr>
          <w:rFonts w:ascii="Tahoma" w:eastAsia="Times New Roman" w:hAnsi="Tahoma" w:cs="Tahoma"/>
          <w:sz w:val="20"/>
          <w:szCs w:val="20"/>
        </w:rPr>
        <w:br/>
      </w:r>
      <w:r w:rsidRPr="00942DD7">
        <w:rPr>
          <w:rFonts w:ascii="Tahoma" w:eastAsia="Times New Roman" w:hAnsi="Tahoma" w:cs="Tahoma"/>
          <w:sz w:val="20"/>
          <w:szCs w:val="20"/>
          <w:rtl/>
        </w:rPr>
        <w:t>ماده 7- واحد بازرسی و نظارت اصناف: واحدی است که توسط مجامع امور صنفی و با هماهنگی شورای اصناف کشور به منظور نظارت و بازرسی از واحدهای صنفی در چهارچوب قانون نظام صنفی تشکیل می گردد</w:t>
      </w:r>
      <w:r w:rsidRPr="00942DD7">
        <w:rPr>
          <w:rFonts w:ascii="Tahoma" w:eastAsia="Times New Roman" w:hAnsi="Tahoma" w:cs="Tahoma"/>
          <w:sz w:val="20"/>
          <w:szCs w:val="20"/>
        </w:rPr>
        <w:t>.</w:t>
      </w:r>
      <w:r w:rsidRPr="00942DD7">
        <w:rPr>
          <w:rFonts w:ascii="Tahoma" w:eastAsia="Times New Roman" w:hAnsi="Tahoma" w:cs="Tahoma"/>
          <w:sz w:val="20"/>
          <w:szCs w:val="20"/>
        </w:rPr>
        <w:br/>
      </w:r>
      <w:r w:rsidRPr="00942DD7">
        <w:rPr>
          <w:rFonts w:ascii="Tahoma" w:eastAsia="Times New Roman" w:hAnsi="Tahoma" w:cs="Tahoma"/>
          <w:sz w:val="20"/>
          <w:szCs w:val="20"/>
          <w:rtl/>
        </w:rPr>
        <w:t>تبصره1- کلیه اتحادیه های صنفی به ازاء هر پانصد عضو موظفند حداقل حقوق و مزایای یک نفر بازرس را به حساب مجمع امور صنفی واریز نمایند</w:t>
      </w:r>
      <w:r w:rsidRPr="00942DD7">
        <w:rPr>
          <w:rFonts w:ascii="Tahoma" w:eastAsia="Times New Roman" w:hAnsi="Tahoma" w:cs="Tahoma"/>
          <w:sz w:val="20"/>
          <w:szCs w:val="20"/>
        </w:rPr>
        <w:t xml:space="preserve">." </w:t>
      </w:r>
      <w:r w:rsidRPr="00942DD7">
        <w:rPr>
          <w:rFonts w:ascii="Tahoma" w:eastAsia="Times New Roman" w:hAnsi="Tahoma" w:cs="Tahoma"/>
          <w:sz w:val="20"/>
          <w:szCs w:val="20"/>
        </w:rPr>
        <w:br/>
      </w:r>
      <w:r w:rsidRPr="00942DD7">
        <w:rPr>
          <w:rFonts w:ascii="Tahoma" w:eastAsia="Times New Roman" w:hAnsi="Tahoma" w:cs="Tahoma"/>
          <w:sz w:val="20"/>
          <w:szCs w:val="20"/>
          <w:rtl/>
        </w:rPr>
        <w:t>علی رغم ارسال نسخه ثانی دادخواست و ضمایم آن برای طرف شکایت، تا زمان رسیدگی به پرونده در هیأت عمومی دیوان عدالت اداری هیچ پاسخی از طرف شکایت واصل نشده است</w:t>
      </w:r>
      <w:r w:rsidRPr="00942DD7">
        <w:rPr>
          <w:rFonts w:ascii="Tahoma" w:eastAsia="Times New Roman" w:hAnsi="Tahoma" w:cs="Tahoma"/>
          <w:sz w:val="20"/>
          <w:szCs w:val="20"/>
        </w:rPr>
        <w:t>.</w:t>
      </w:r>
      <w:r w:rsidRPr="00942DD7">
        <w:rPr>
          <w:rFonts w:ascii="Tahoma" w:eastAsia="Times New Roman" w:hAnsi="Tahoma" w:cs="Tahoma"/>
          <w:sz w:val="20"/>
          <w:szCs w:val="20"/>
        </w:rPr>
        <w:br/>
      </w:r>
      <w:r w:rsidRPr="00942DD7">
        <w:rPr>
          <w:rFonts w:ascii="Tahoma" w:eastAsia="Times New Roman" w:hAnsi="Tahoma" w:cs="Tahoma"/>
          <w:sz w:val="20"/>
          <w:szCs w:val="20"/>
          <w:rtl/>
        </w:rPr>
        <w:t>هیأت عمومی دیوان عدالت اداری در تاریخ یاد شده با حضور رؤسا، مستشاران و دادرسان شعب دیوان تشکیل شد. پس از بحث و بررسی، با اکثریت آراء به شرح آينده به صدور رأی مبادرت می کند</w:t>
      </w:r>
      <w:r w:rsidRPr="00942DD7">
        <w:rPr>
          <w:rFonts w:ascii="Tahoma" w:eastAsia="Times New Roman" w:hAnsi="Tahoma" w:cs="Tahoma"/>
          <w:sz w:val="20"/>
          <w:szCs w:val="20"/>
        </w:rPr>
        <w:t>.</w:t>
      </w:r>
      <w:r w:rsidRPr="00942DD7">
        <w:rPr>
          <w:rFonts w:ascii="Tahoma" w:eastAsia="Times New Roman" w:hAnsi="Tahoma" w:cs="Tahoma"/>
          <w:sz w:val="20"/>
          <w:szCs w:val="20"/>
        </w:rPr>
        <w:br/>
      </w:r>
      <w:r w:rsidRPr="00942DD7">
        <w:rPr>
          <w:rFonts w:ascii="Tahoma" w:eastAsia="Times New Roman" w:hAnsi="Tahoma" w:cs="Tahoma"/>
          <w:sz w:val="20"/>
          <w:szCs w:val="20"/>
          <w:rtl/>
        </w:rPr>
        <w:t>رأی هيأت عمومي</w:t>
      </w:r>
      <w:r w:rsidRPr="00942DD7">
        <w:rPr>
          <w:rFonts w:ascii="Tahoma" w:eastAsia="Times New Roman" w:hAnsi="Tahoma" w:cs="Tahoma"/>
          <w:sz w:val="20"/>
          <w:szCs w:val="20"/>
        </w:rPr>
        <w:br/>
      </w:r>
      <w:r w:rsidRPr="00942DD7">
        <w:rPr>
          <w:rFonts w:ascii="Tahoma" w:eastAsia="Times New Roman" w:hAnsi="Tahoma" w:cs="Tahoma"/>
          <w:sz w:val="20"/>
          <w:szCs w:val="20"/>
          <w:rtl/>
        </w:rPr>
        <w:t>نظر به این که منابع مالی مجمع امور صنفی به موجب تبصره 2 ماده 31 قانون نظام صنفی مصوب سال 1382 مشخص گردیده و اتحادیه ها موظف شده اند بیستدرصد مبالغ دریافتی به موجب ماده 31 را به حساب مجمع امور صنفی واریز نمایند و نظر به این که وضع و دریافت مجدد مبالغی برای تامین منابع مالی مجمع امور صنفی در آیین نامه مربوط تجویز نشده است، بنابراین تبصره 1 ماده 7 فصل دوم آیین نامه ماده 45 قانون نظام صنفی کشور که در آن مقرر شده است، کلیه اتحادیه های صنفی به ازاء هر پانصد عضو موظفند حداقل حقوق و مزایای یک نفر بازرس را به حساب مجمع امور صنفی واریز نمایند، خلاف قانون وخارج از حدود اختیارات مرجع وضع تشخیص می شود و به استناد بند 1 ماده 12 و ماده 88 قانون تشکیلات و آیین دادرسی دیوان عدالت اداری مصوب سال 1392، ابطال می شود</w:t>
      </w:r>
      <w:r w:rsidRPr="00942DD7">
        <w:rPr>
          <w:rFonts w:ascii="Tahoma" w:eastAsia="Times New Roman" w:hAnsi="Tahoma" w:cs="Tahoma"/>
          <w:sz w:val="20"/>
          <w:szCs w:val="20"/>
        </w:rPr>
        <w:t xml:space="preserve">./ </w:t>
      </w:r>
      <w:r w:rsidRPr="00942DD7">
        <w:rPr>
          <w:rFonts w:ascii="Tahoma" w:eastAsia="Times New Roman" w:hAnsi="Tahoma" w:cs="Tahoma"/>
          <w:sz w:val="20"/>
          <w:szCs w:val="20"/>
        </w:rPr>
        <w:br/>
      </w:r>
      <w:r w:rsidRPr="00942DD7">
        <w:rPr>
          <w:rFonts w:ascii="Tahoma" w:eastAsia="Times New Roman" w:hAnsi="Tahoma" w:cs="Tahoma"/>
          <w:sz w:val="20"/>
          <w:szCs w:val="20"/>
          <w:rtl/>
        </w:rPr>
        <w:t>هیأت عمومی دیوان عدالت اداری</w:t>
      </w:r>
      <w:r w:rsidRPr="00942DD7">
        <w:rPr>
          <w:rFonts w:ascii="Tahoma" w:eastAsia="Times New Roman" w:hAnsi="Tahoma" w:cs="Tahoma"/>
          <w:sz w:val="20"/>
          <w:szCs w:val="20"/>
        </w:rPr>
        <w:br/>
      </w:r>
      <w:r w:rsidRPr="00942DD7">
        <w:rPr>
          <w:rFonts w:ascii="Tahoma" w:eastAsia="Times New Roman" w:hAnsi="Tahoma" w:cs="Tahoma"/>
          <w:sz w:val="20"/>
          <w:szCs w:val="20"/>
          <w:rtl/>
        </w:rPr>
        <w:t xml:space="preserve">معاون قضایی دیوان عدالت اداری </w:t>
      </w:r>
      <w:r w:rsidRPr="00942DD7">
        <w:rPr>
          <w:rFonts w:ascii="Tahoma" w:eastAsia="Times New Roman" w:hAnsi="Tahoma" w:cs="Tahoma"/>
          <w:sz w:val="20"/>
          <w:szCs w:val="20"/>
        </w:rPr>
        <w:br/>
      </w:r>
      <w:r w:rsidRPr="00942DD7">
        <w:rPr>
          <w:rFonts w:ascii="Tahoma" w:eastAsia="Times New Roman" w:hAnsi="Tahoma" w:cs="Tahoma"/>
          <w:sz w:val="20"/>
          <w:szCs w:val="20"/>
          <w:rtl/>
        </w:rPr>
        <w:t>علی مبشری</w:t>
      </w:r>
      <w:r w:rsidRPr="00942DD7">
        <w:rPr>
          <w:rFonts w:ascii="Tahoma" w:eastAsia="Times New Roman" w:hAnsi="Tahoma" w:cs="Tahoma"/>
          <w:sz w:val="20"/>
          <w:szCs w:val="20"/>
        </w:rPr>
        <w:br/>
      </w:r>
      <w:r w:rsidRPr="00942DD7">
        <w:rPr>
          <w:rFonts w:ascii="Tahoma" w:eastAsia="Times New Roman" w:hAnsi="Tahoma" w:cs="Tahoma"/>
          <w:sz w:val="20"/>
          <w:szCs w:val="20"/>
        </w:rPr>
        <w:br/>
      </w:r>
      <w:r w:rsidRPr="00942DD7">
        <w:rPr>
          <w:rFonts w:ascii="Tahoma" w:eastAsia="Times New Roman" w:hAnsi="Tahoma" w:cs="Tahoma"/>
          <w:sz w:val="20"/>
          <w:szCs w:val="20"/>
          <w:rtl/>
        </w:rPr>
        <w:t>خيابان بهشت (ضلع جنوبي پارك شهر) ديوان عدالت اداري</w:t>
      </w:r>
    </w:p>
    <w:sectPr w:rsidR="005D61A6" w:rsidRPr="00942DD7" w:rsidSect="00171F7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D7"/>
    <w:rsid w:val="00171F70"/>
    <w:rsid w:val="005D61A6"/>
    <w:rsid w:val="00942DD7"/>
    <w:rsid w:val="00D3156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6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DD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6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DD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4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F6608-43D1-4EF8-8839-2E9F9B74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Et_Anbar</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Samei</dc:creator>
  <cp:keywords/>
  <dc:description/>
  <cp:lastModifiedBy>Samei</cp:lastModifiedBy>
  <cp:revision>1</cp:revision>
  <dcterms:created xsi:type="dcterms:W3CDTF">2015-09-28T13:54:00Z</dcterms:created>
  <dcterms:modified xsi:type="dcterms:W3CDTF">2015-09-28T13:56:00Z</dcterms:modified>
</cp:coreProperties>
</file>